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35AF10" w14:textId="0C28852F" w:rsidR="00821775" w:rsidRPr="00DD1D41" w:rsidRDefault="00821775" w:rsidP="00821775">
      <w:pPr>
        <w:spacing w:after="200" w:line="276" w:lineRule="auto"/>
        <w:ind w:firstLine="0"/>
        <w:contextualSpacing w:val="0"/>
        <w:jc w:val="center"/>
        <w:rPr>
          <w:i/>
        </w:rPr>
      </w:pPr>
      <w:r w:rsidRPr="00DD1D41">
        <w:rPr>
          <w:i/>
          <w:lang w:val="en"/>
        </w:rPr>
        <w:t>Translation from Ukrainian</w:t>
      </w:r>
    </w:p>
    <w:p w14:paraId="048A0070" w14:textId="77777777" w:rsidR="00821775" w:rsidRPr="00275ACD" w:rsidRDefault="00821775" w:rsidP="00821775">
      <w:pPr>
        <w:ind w:firstLine="0"/>
        <w:jc w:val="center"/>
        <w:rPr>
          <w:b/>
          <w:szCs w:val="28"/>
          <w:highlight w:val="yellow"/>
          <w:lang w:val="uk-UA"/>
        </w:rPr>
      </w:pPr>
      <w:r w:rsidRPr="00275ACD">
        <w:rPr>
          <w:b/>
          <w:szCs w:val="28"/>
          <w:highlight w:val="yellow"/>
          <w:lang w:val="en"/>
        </w:rPr>
        <w:t>Memorandum of Understanding</w:t>
      </w:r>
    </w:p>
    <w:p w14:paraId="3D3F7379" w14:textId="77777777" w:rsidR="00821775" w:rsidRDefault="00821775" w:rsidP="00821775">
      <w:pPr>
        <w:ind w:firstLine="0"/>
        <w:jc w:val="center"/>
        <w:rPr>
          <w:szCs w:val="28"/>
          <w:lang w:val="uk-UA"/>
        </w:rPr>
      </w:pPr>
      <w:r w:rsidRPr="00275ACD">
        <w:rPr>
          <w:highlight w:val="yellow"/>
          <w:lang w:val="en"/>
        </w:rPr>
        <w:t>Bernhard Nocht Institute for Tropical Medicine (hereinafter referred to as the Institute)</w:t>
      </w:r>
    </w:p>
    <w:p w14:paraId="463DB7EE" w14:textId="77777777" w:rsidR="00821775" w:rsidRDefault="00821775" w:rsidP="00821775">
      <w:pPr>
        <w:ind w:firstLine="0"/>
        <w:jc w:val="center"/>
        <w:rPr>
          <w:szCs w:val="28"/>
          <w:lang w:val="uk-UA"/>
        </w:rPr>
      </w:pPr>
    </w:p>
    <w:p w14:paraId="48C61089" w14:textId="77777777" w:rsidR="00821775" w:rsidRDefault="00821775" w:rsidP="00821775">
      <w:pPr>
        <w:ind w:firstLine="0"/>
        <w:jc w:val="center"/>
        <w:rPr>
          <w:szCs w:val="28"/>
          <w:lang w:val="uk-UA"/>
        </w:rPr>
      </w:pPr>
      <w:r>
        <w:rPr>
          <w:szCs w:val="28"/>
          <w:lang w:val="en"/>
        </w:rPr>
        <w:t>which</w:t>
      </w:r>
      <w:r w:rsidRPr="00C97A3C">
        <w:rPr>
          <w:szCs w:val="28"/>
          <w:lang w:val="en"/>
        </w:rPr>
        <w:t xml:space="preserve"> represents </w:t>
      </w:r>
    </w:p>
    <w:p w14:paraId="717520E6" w14:textId="77777777" w:rsidR="00821775" w:rsidRDefault="00821775" w:rsidP="00821775">
      <w:pPr>
        <w:ind w:firstLine="0"/>
        <w:jc w:val="center"/>
        <w:rPr>
          <w:szCs w:val="28"/>
          <w:lang w:val="uk-UA"/>
        </w:rPr>
      </w:pPr>
      <w:r w:rsidRPr="00C97A3C">
        <w:rPr>
          <w:lang w:val="en"/>
        </w:rPr>
        <w:t>Egbert Tanich, Chairman of the Board of Directors</w:t>
      </w:r>
    </w:p>
    <w:p w14:paraId="357BFC2F" w14:textId="77777777" w:rsidR="00821775" w:rsidRDefault="00821775" w:rsidP="00821775">
      <w:pPr>
        <w:ind w:firstLine="0"/>
        <w:jc w:val="center"/>
        <w:rPr>
          <w:szCs w:val="28"/>
          <w:lang w:val="uk-UA"/>
        </w:rPr>
      </w:pPr>
      <w:r w:rsidRPr="00C97A3C">
        <w:rPr>
          <w:lang w:val="en"/>
        </w:rPr>
        <w:t>Bernhard Nocht Street 74</w:t>
      </w:r>
    </w:p>
    <w:p w14:paraId="70866ED0" w14:textId="77777777" w:rsidR="00821775" w:rsidRDefault="00821775" w:rsidP="00821775">
      <w:pPr>
        <w:ind w:firstLine="0"/>
        <w:jc w:val="center"/>
        <w:rPr>
          <w:szCs w:val="28"/>
          <w:lang w:val="uk-UA"/>
        </w:rPr>
      </w:pPr>
      <w:r>
        <w:rPr>
          <w:szCs w:val="28"/>
          <w:lang w:val="en"/>
        </w:rPr>
        <w:t xml:space="preserve">20359 </w:t>
      </w:r>
      <w:r w:rsidRPr="00C97A3C">
        <w:rPr>
          <w:szCs w:val="28"/>
          <w:lang w:val="en"/>
        </w:rPr>
        <w:t>Hamburg, Germany</w:t>
      </w:r>
    </w:p>
    <w:p w14:paraId="7056164C" w14:textId="77777777" w:rsidR="00821775" w:rsidRDefault="00821775" w:rsidP="00821775">
      <w:pPr>
        <w:ind w:firstLine="0"/>
        <w:jc w:val="center"/>
        <w:rPr>
          <w:szCs w:val="28"/>
          <w:lang w:val="uk-UA"/>
        </w:rPr>
      </w:pPr>
    </w:p>
    <w:p w14:paraId="31A261D0" w14:textId="77777777" w:rsidR="00821775" w:rsidRDefault="00821775" w:rsidP="00821775">
      <w:pPr>
        <w:ind w:firstLine="0"/>
        <w:jc w:val="center"/>
        <w:rPr>
          <w:szCs w:val="28"/>
          <w:lang w:val="uk-UA"/>
        </w:rPr>
      </w:pPr>
      <w:r>
        <w:rPr>
          <w:szCs w:val="28"/>
          <w:lang w:val="en"/>
        </w:rPr>
        <w:t>Contractor</w:t>
      </w:r>
    </w:p>
    <w:p w14:paraId="3D8F3A4F" w14:textId="77777777" w:rsidR="00821775" w:rsidRDefault="00821775" w:rsidP="00821775">
      <w:pPr>
        <w:jc w:val="center"/>
        <w:rPr>
          <w:szCs w:val="28"/>
          <w:lang w:val="uk-UA"/>
        </w:rPr>
      </w:pPr>
    </w:p>
    <w:p w14:paraId="3ABCC90F" w14:textId="77777777" w:rsidR="00821775" w:rsidRDefault="00821775" w:rsidP="00821775">
      <w:pPr>
        <w:rPr>
          <w:szCs w:val="28"/>
          <w:lang w:val="uk-UA"/>
        </w:rPr>
      </w:pPr>
      <w:r w:rsidRPr="00C97A3C">
        <w:rPr>
          <w:szCs w:val="28"/>
          <w:lang w:val="en"/>
        </w:rPr>
        <w:t>Principal Investigator:</w:t>
      </w:r>
    </w:p>
    <w:p w14:paraId="777A0E8D" w14:textId="77777777" w:rsidR="00821775" w:rsidRDefault="00821775" w:rsidP="00821775">
      <w:pPr>
        <w:rPr>
          <w:szCs w:val="28"/>
          <w:lang w:val="uk-UA"/>
        </w:rPr>
      </w:pPr>
    </w:p>
    <w:p w14:paraId="208D29B7" w14:textId="77777777" w:rsidR="00821775" w:rsidRDefault="00821775" w:rsidP="00821775">
      <w:pPr>
        <w:rPr>
          <w:szCs w:val="28"/>
          <w:lang w:val="uk-UA"/>
        </w:rPr>
      </w:pPr>
      <w:r w:rsidRPr="00C97A3C">
        <w:rPr>
          <w:szCs w:val="28"/>
          <w:lang w:val="en"/>
        </w:rPr>
        <w:t>Dr. Petra Emerich-Paloch</w:t>
      </w:r>
    </w:p>
    <w:p w14:paraId="628619EF" w14:textId="77777777" w:rsidR="00821775" w:rsidRDefault="00821775" w:rsidP="00821775">
      <w:pPr>
        <w:rPr>
          <w:szCs w:val="28"/>
          <w:lang w:val="uk-UA"/>
        </w:rPr>
      </w:pPr>
      <w:r w:rsidRPr="00C97A3C">
        <w:rPr>
          <w:szCs w:val="28"/>
          <w:lang w:val="en"/>
        </w:rPr>
        <w:t>Bernhard Nocht Institute for Tropical Medicine</w:t>
      </w:r>
    </w:p>
    <w:p w14:paraId="4D9DD877" w14:textId="77777777" w:rsidR="00821775" w:rsidRPr="00C30966" w:rsidRDefault="00821775" w:rsidP="00821775">
      <w:pPr>
        <w:rPr>
          <w:szCs w:val="28"/>
        </w:rPr>
      </w:pPr>
      <w:r w:rsidRPr="00C97A3C">
        <w:rPr>
          <w:lang w:val="en"/>
        </w:rPr>
        <w:t>Department of Virology and Laboratory BSL - 4</w:t>
      </w:r>
    </w:p>
    <w:p w14:paraId="3B8623A0" w14:textId="77777777" w:rsidR="00821775" w:rsidRDefault="00821775" w:rsidP="00821775">
      <w:pPr>
        <w:rPr>
          <w:szCs w:val="28"/>
          <w:lang w:val="uk-UA"/>
        </w:rPr>
      </w:pPr>
      <w:r w:rsidRPr="00C97A3C">
        <w:rPr>
          <w:lang w:val="en"/>
        </w:rPr>
        <w:t>Bernhard Nocht Street 74</w:t>
      </w:r>
    </w:p>
    <w:p w14:paraId="24117529" w14:textId="77777777" w:rsidR="00821775" w:rsidRDefault="00821775" w:rsidP="00821775">
      <w:pPr>
        <w:rPr>
          <w:szCs w:val="28"/>
          <w:lang w:val="uk-UA"/>
        </w:rPr>
      </w:pPr>
      <w:r>
        <w:rPr>
          <w:szCs w:val="28"/>
          <w:lang w:val="en"/>
        </w:rPr>
        <w:t xml:space="preserve">20359 </w:t>
      </w:r>
      <w:r w:rsidRPr="00C97A3C">
        <w:rPr>
          <w:szCs w:val="28"/>
          <w:lang w:val="en"/>
        </w:rPr>
        <w:t>Hamburg, Germany</w:t>
      </w:r>
    </w:p>
    <w:p w14:paraId="4CC87D09" w14:textId="77777777" w:rsidR="00821775" w:rsidRDefault="00821775" w:rsidP="00821775">
      <w:pPr>
        <w:rPr>
          <w:szCs w:val="28"/>
          <w:lang w:val="uk-UA"/>
        </w:rPr>
      </w:pPr>
      <w:r>
        <w:rPr>
          <w:szCs w:val="28"/>
          <w:lang w:val="en"/>
        </w:rPr>
        <w:t>Tel +</w:t>
      </w:r>
      <w:r w:rsidRPr="00C97A3C">
        <w:rPr>
          <w:szCs w:val="28"/>
          <w:lang w:val="en"/>
        </w:rPr>
        <w:t>49 40 428 18 470</w:t>
      </w:r>
    </w:p>
    <w:p w14:paraId="4271A5A0" w14:textId="77777777" w:rsidR="00821775" w:rsidRDefault="00821775" w:rsidP="00821775">
      <w:pPr>
        <w:rPr>
          <w:szCs w:val="28"/>
          <w:lang w:val="uk-UA"/>
        </w:rPr>
      </w:pPr>
      <w:r>
        <w:rPr>
          <w:szCs w:val="28"/>
          <w:lang w:val="en"/>
        </w:rPr>
        <w:t xml:space="preserve">Mob tel </w:t>
      </w:r>
      <w:r w:rsidRPr="00C97A3C">
        <w:rPr>
          <w:szCs w:val="28"/>
          <w:lang w:val="en"/>
        </w:rPr>
        <w:t>+1724552847</w:t>
      </w:r>
    </w:p>
    <w:p w14:paraId="1CEBBF6C" w14:textId="77777777" w:rsidR="00821775" w:rsidRPr="00C30966" w:rsidRDefault="00821775" w:rsidP="00821775">
      <w:pPr>
        <w:rPr>
          <w:szCs w:val="28"/>
        </w:rPr>
      </w:pPr>
      <w:r w:rsidRPr="00C97A3C">
        <w:rPr>
          <w:szCs w:val="28"/>
          <w:lang w:val="en"/>
        </w:rPr>
        <w:t>Email: emmerich@bni-hamburg.de</w:t>
      </w:r>
    </w:p>
    <w:p w14:paraId="1B1B52FA" w14:textId="77777777" w:rsidR="00821775" w:rsidRPr="00C30966" w:rsidRDefault="00821775" w:rsidP="00821775">
      <w:pPr>
        <w:rPr>
          <w:szCs w:val="28"/>
        </w:rPr>
      </w:pPr>
    </w:p>
    <w:p w14:paraId="024AF1E7" w14:textId="77777777" w:rsidR="00821775" w:rsidRDefault="00821775" w:rsidP="00821775">
      <w:pPr>
        <w:rPr>
          <w:szCs w:val="28"/>
          <w:lang w:val="uk-UA"/>
        </w:rPr>
      </w:pPr>
    </w:p>
    <w:p w14:paraId="102EDD6C" w14:textId="77777777" w:rsidR="00821775" w:rsidRPr="00275ACD" w:rsidRDefault="00821775" w:rsidP="00821775">
      <w:pPr>
        <w:ind w:firstLine="0"/>
        <w:jc w:val="center"/>
        <w:rPr>
          <w:szCs w:val="28"/>
          <w:highlight w:val="yellow"/>
          <w:lang w:val="uk-UA"/>
        </w:rPr>
      </w:pPr>
      <w:r w:rsidRPr="00275ACD">
        <w:rPr>
          <w:szCs w:val="28"/>
          <w:highlight w:val="yellow"/>
          <w:lang w:val="en"/>
        </w:rPr>
        <w:t>and</w:t>
      </w:r>
    </w:p>
    <w:p w14:paraId="70F13C0B" w14:textId="77777777" w:rsidR="00821775" w:rsidRPr="00C30966" w:rsidRDefault="00821775" w:rsidP="00821775">
      <w:pPr>
        <w:ind w:firstLine="0"/>
        <w:jc w:val="center"/>
        <w:rPr>
          <w:szCs w:val="28"/>
        </w:rPr>
      </w:pPr>
      <w:r w:rsidRPr="00275ACD">
        <w:rPr>
          <w:szCs w:val="28"/>
          <w:highlight w:val="yellow"/>
          <w:lang w:val="en"/>
        </w:rPr>
        <w:t>State Institution "Center for Public Health of the Ministry of Health of Ukraine" (hereinafter referred to as the CHP)</w:t>
      </w:r>
    </w:p>
    <w:p w14:paraId="71997199" w14:textId="77777777" w:rsidR="00821775" w:rsidRDefault="00821775" w:rsidP="00821775">
      <w:pPr>
        <w:ind w:firstLine="0"/>
        <w:jc w:val="center"/>
        <w:rPr>
          <w:szCs w:val="28"/>
          <w:lang w:val="uk-UA"/>
        </w:rPr>
      </w:pPr>
    </w:p>
    <w:p w14:paraId="26A7E150" w14:textId="77777777" w:rsidR="00821775" w:rsidRDefault="00821775" w:rsidP="00821775">
      <w:pPr>
        <w:ind w:firstLine="0"/>
        <w:jc w:val="center"/>
        <w:rPr>
          <w:szCs w:val="28"/>
          <w:lang w:val="uk-UA"/>
        </w:rPr>
      </w:pPr>
      <w:r>
        <w:rPr>
          <w:szCs w:val="28"/>
          <w:lang w:val="en"/>
        </w:rPr>
        <w:t>which</w:t>
      </w:r>
      <w:r w:rsidRPr="00C97A3C">
        <w:rPr>
          <w:szCs w:val="28"/>
          <w:lang w:val="en"/>
        </w:rPr>
        <w:t xml:space="preserve"> represents </w:t>
      </w:r>
    </w:p>
    <w:p w14:paraId="117B6EBE" w14:textId="77777777" w:rsidR="00821775" w:rsidRDefault="00821775" w:rsidP="00821775">
      <w:pPr>
        <w:ind w:firstLine="0"/>
        <w:jc w:val="center"/>
        <w:rPr>
          <w:szCs w:val="28"/>
          <w:lang w:val="uk-UA"/>
        </w:rPr>
      </w:pPr>
    </w:p>
    <w:p w14:paraId="475416BC" w14:textId="77777777" w:rsidR="00821775" w:rsidRDefault="00821775" w:rsidP="00821775">
      <w:pPr>
        <w:ind w:firstLine="0"/>
        <w:jc w:val="center"/>
        <w:rPr>
          <w:szCs w:val="28"/>
          <w:lang w:val="uk-UA"/>
        </w:rPr>
      </w:pPr>
      <w:r w:rsidRPr="00C97A3C">
        <w:rPr>
          <w:szCs w:val="28"/>
          <w:lang w:val="en"/>
        </w:rPr>
        <w:t>General Director: Dr. Vladimir Kurpita, Candidate of Medical Sciences</w:t>
      </w:r>
    </w:p>
    <w:p w14:paraId="7FF90E79" w14:textId="77777777" w:rsidR="00821775" w:rsidRDefault="00821775" w:rsidP="00821775">
      <w:pPr>
        <w:ind w:firstLine="0"/>
        <w:jc w:val="center"/>
        <w:rPr>
          <w:szCs w:val="28"/>
          <w:lang w:val="uk-UA"/>
        </w:rPr>
      </w:pPr>
      <w:r>
        <w:rPr>
          <w:szCs w:val="28"/>
          <w:lang w:val="en"/>
        </w:rPr>
        <w:t xml:space="preserve">04071 </w:t>
      </w:r>
      <w:r w:rsidRPr="00C97A3C">
        <w:rPr>
          <w:szCs w:val="28"/>
          <w:lang w:val="en"/>
        </w:rPr>
        <w:t>Kyiv, 41 Yaroslavskaya str.</w:t>
      </w:r>
    </w:p>
    <w:p w14:paraId="10AD328B" w14:textId="77777777" w:rsidR="00821775" w:rsidRDefault="00821775" w:rsidP="00821775">
      <w:pPr>
        <w:ind w:firstLine="0"/>
        <w:jc w:val="center"/>
        <w:rPr>
          <w:szCs w:val="28"/>
          <w:lang w:val="uk-UA"/>
        </w:rPr>
      </w:pPr>
      <w:r w:rsidRPr="00C97A3C">
        <w:rPr>
          <w:szCs w:val="28"/>
          <w:lang w:val="en"/>
        </w:rPr>
        <w:t>Ukraine</w:t>
      </w:r>
    </w:p>
    <w:p w14:paraId="5F78B844" w14:textId="77777777" w:rsidR="00821775" w:rsidRDefault="00821775" w:rsidP="00821775">
      <w:pPr>
        <w:rPr>
          <w:lang w:val="uk-UA"/>
        </w:rPr>
      </w:pPr>
    </w:p>
    <w:p w14:paraId="3541E444" w14:textId="77777777" w:rsidR="00821775" w:rsidRPr="005610EE" w:rsidRDefault="00821775" w:rsidP="00821775">
      <w:pPr>
        <w:rPr>
          <w:szCs w:val="28"/>
          <w:lang w:val="uk-UA"/>
        </w:rPr>
      </w:pPr>
      <w:r w:rsidRPr="00C97A3C">
        <w:rPr>
          <w:szCs w:val="28"/>
          <w:lang w:val="en"/>
        </w:rPr>
        <w:t>Laboratory test:</w:t>
      </w:r>
    </w:p>
    <w:p w14:paraId="3BDEDD32" w14:textId="77777777" w:rsidR="00821775" w:rsidRPr="005610EE" w:rsidRDefault="00821775" w:rsidP="00821775">
      <w:pPr>
        <w:rPr>
          <w:szCs w:val="28"/>
          <w:lang w:val="uk-UA"/>
        </w:rPr>
      </w:pPr>
    </w:p>
    <w:p w14:paraId="6FD88E7E" w14:textId="77777777" w:rsidR="00821775" w:rsidRPr="005610EE" w:rsidRDefault="00821775" w:rsidP="00821775">
      <w:pPr>
        <w:rPr>
          <w:szCs w:val="28"/>
          <w:lang w:val="uk-UA"/>
        </w:rPr>
      </w:pPr>
      <w:r w:rsidRPr="00C97A3C">
        <w:rPr>
          <w:szCs w:val="28"/>
          <w:lang w:val="en"/>
        </w:rPr>
        <w:t>Dr. Irina Demchyshyna</w:t>
      </w:r>
    </w:p>
    <w:p w14:paraId="61DF74FA" w14:textId="77777777" w:rsidR="00821775" w:rsidRPr="005610EE" w:rsidRDefault="00821775" w:rsidP="00821775">
      <w:pPr>
        <w:rPr>
          <w:szCs w:val="28"/>
          <w:lang w:val="uk-UA"/>
        </w:rPr>
      </w:pPr>
      <w:r w:rsidRPr="00C97A3C">
        <w:rPr>
          <w:szCs w:val="28"/>
          <w:lang w:val="en"/>
        </w:rPr>
        <w:t>Head of the Laboratory of Virology</w:t>
      </w:r>
    </w:p>
    <w:p w14:paraId="549788BD" w14:textId="77777777" w:rsidR="00821775" w:rsidRPr="005610EE" w:rsidRDefault="00821775" w:rsidP="00821775">
      <w:pPr>
        <w:rPr>
          <w:szCs w:val="28"/>
          <w:lang w:val="uk-UA"/>
        </w:rPr>
      </w:pPr>
      <w:r w:rsidRPr="00C97A3C">
        <w:rPr>
          <w:lang w:val="en"/>
        </w:rPr>
        <w:t>State Institution "Center for Public Health of the Ministry of Health of Ukraine"</w:t>
      </w:r>
    </w:p>
    <w:p w14:paraId="5465A668" w14:textId="77777777" w:rsidR="00821775" w:rsidRPr="005610EE" w:rsidRDefault="00821775" w:rsidP="00821775">
      <w:pPr>
        <w:rPr>
          <w:szCs w:val="28"/>
          <w:lang w:val="uk-UA"/>
        </w:rPr>
      </w:pPr>
      <w:r w:rsidRPr="005610EE">
        <w:rPr>
          <w:szCs w:val="28"/>
          <w:lang w:val="en"/>
        </w:rPr>
        <w:t xml:space="preserve">04071 </w:t>
      </w:r>
      <w:r w:rsidRPr="00C97A3C">
        <w:rPr>
          <w:szCs w:val="28"/>
          <w:lang w:val="en"/>
        </w:rPr>
        <w:t>Kyiv, Yaroslavskaya str., 41, Ukraine</w:t>
      </w:r>
    </w:p>
    <w:p w14:paraId="5AADC543" w14:textId="77777777" w:rsidR="00821775" w:rsidRPr="005610EE" w:rsidRDefault="00821775" w:rsidP="00821775">
      <w:pPr>
        <w:rPr>
          <w:szCs w:val="28"/>
          <w:lang w:val="uk-UA"/>
        </w:rPr>
      </w:pPr>
      <w:r w:rsidRPr="00C97A3C">
        <w:rPr>
          <w:szCs w:val="28"/>
          <w:lang w:val="en"/>
        </w:rPr>
        <w:t>Tel / fax: ++38 044 425 02 09</w:t>
      </w:r>
    </w:p>
    <w:p w14:paraId="5775813E" w14:textId="77777777" w:rsidR="00821775" w:rsidRPr="005610EE" w:rsidRDefault="00821775" w:rsidP="00821775">
      <w:pPr>
        <w:rPr>
          <w:szCs w:val="28"/>
          <w:lang w:val="uk-UA"/>
        </w:rPr>
      </w:pPr>
      <w:r w:rsidRPr="00C30966">
        <w:rPr>
          <w:szCs w:val="28"/>
          <w:lang w:val="en"/>
        </w:rPr>
        <w:t>Mobil: + 38 050 732 52 32</w:t>
      </w:r>
    </w:p>
    <w:p w14:paraId="51EC028F" w14:textId="77777777" w:rsidR="00821775" w:rsidRPr="005610EE" w:rsidRDefault="00821775" w:rsidP="00821775">
      <w:pPr>
        <w:rPr>
          <w:szCs w:val="28"/>
          <w:lang w:val="uk-UA"/>
        </w:rPr>
      </w:pPr>
      <w:r w:rsidRPr="00C30966">
        <w:rPr>
          <w:szCs w:val="28"/>
          <w:lang w:val="en"/>
        </w:rPr>
        <w:t>e - mail: irad@i.ua</w:t>
      </w:r>
    </w:p>
    <w:p w14:paraId="662B1C63" w14:textId="77777777" w:rsidR="00821775" w:rsidRPr="005610EE" w:rsidRDefault="00821775" w:rsidP="00821775">
      <w:pPr>
        <w:rPr>
          <w:szCs w:val="28"/>
          <w:lang w:val="uk-UA"/>
        </w:rPr>
      </w:pPr>
    </w:p>
    <w:p w14:paraId="1EECE625" w14:textId="77777777" w:rsidR="00821775" w:rsidRPr="005610EE" w:rsidRDefault="00821775" w:rsidP="00821775">
      <w:pPr>
        <w:rPr>
          <w:szCs w:val="28"/>
          <w:lang w:val="uk-UA"/>
        </w:rPr>
      </w:pPr>
      <w:r w:rsidRPr="00C97A3C">
        <w:rPr>
          <w:lang w:val="en"/>
        </w:rPr>
        <w:t xml:space="preserve">agree to cooperate within the framework of a common research project: </w:t>
      </w:r>
      <w:r w:rsidRPr="00EC0713">
        <w:rPr>
          <w:b/>
          <w:highlight w:val="yellow"/>
          <w:lang w:val="en"/>
        </w:rPr>
        <w:t>Improving the level of biosafety and biosecurity by improving the diagnosis and research of the prevalence of Crimean-Congo haemorrhagic fever (CChL) and Hantaviruses in Ukraine in 2018-2019</w:t>
      </w:r>
      <w:r w:rsidRPr="00EC0713">
        <w:rPr>
          <w:highlight w:val="yellow"/>
          <w:lang w:val="en"/>
        </w:rPr>
        <w:t xml:space="preserve"> , which is funded by the German Ministry of Foreign Affairs (project No. 68727 EN 02761868)</w:t>
      </w:r>
    </w:p>
    <w:p w14:paraId="0145EDAA" w14:textId="77777777" w:rsidR="00821775" w:rsidRPr="005610EE" w:rsidRDefault="00821775" w:rsidP="00821775">
      <w:pPr>
        <w:rPr>
          <w:szCs w:val="28"/>
          <w:lang w:val="uk-UA"/>
        </w:rPr>
      </w:pPr>
    </w:p>
    <w:p w14:paraId="72BB4C86" w14:textId="77777777" w:rsidR="00821775" w:rsidRPr="005610EE" w:rsidRDefault="00821775" w:rsidP="00821775">
      <w:pPr>
        <w:rPr>
          <w:szCs w:val="28"/>
          <w:lang w:val="uk-UA"/>
        </w:rPr>
      </w:pPr>
      <w:r w:rsidRPr="00C97A3C">
        <w:rPr>
          <w:szCs w:val="28"/>
          <w:lang w:val="en"/>
        </w:rPr>
        <w:t>under the following conditions:</w:t>
      </w:r>
    </w:p>
    <w:p w14:paraId="1673B29C" w14:textId="77777777" w:rsidR="00821775" w:rsidRPr="005610EE" w:rsidRDefault="00821775" w:rsidP="00821775">
      <w:pPr>
        <w:rPr>
          <w:szCs w:val="28"/>
          <w:lang w:val="uk-UA"/>
        </w:rPr>
      </w:pPr>
    </w:p>
    <w:p w14:paraId="6F97C856" w14:textId="77777777" w:rsidR="00821775" w:rsidRPr="005610EE" w:rsidRDefault="00821775" w:rsidP="00821775">
      <w:pPr>
        <w:rPr>
          <w:b/>
          <w:szCs w:val="28"/>
          <w:lang w:val="uk-UA"/>
        </w:rPr>
      </w:pPr>
      <w:r w:rsidRPr="00C97A3C">
        <w:rPr>
          <w:b/>
          <w:szCs w:val="28"/>
          <w:lang w:val="en"/>
        </w:rPr>
        <w:t>Purpose of the study:</w:t>
      </w:r>
    </w:p>
    <w:p w14:paraId="2CED77E4" w14:textId="77777777" w:rsidR="00821775" w:rsidRPr="005610EE" w:rsidRDefault="00821775" w:rsidP="00821775">
      <w:pPr>
        <w:rPr>
          <w:szCs w:val="28"/>
          <w:lang w:val="uk-UA"/>
        </w:rPr>
      </w:pPr>
    </w:p>
    <w:p w14:paraId="2D1D27FE" w14:textId="77777777" w:rsidR="00821775" w:rsidRPr="005610EE" w:rsidRDefault="00821775" w:rsidP="00821775">
      <w:pPr>
        <w:rPr>
          <w:szCs w:val="28"/>
          <w:lang w:val="uk-UA"/>
        </w:rPr>
      </w:pPr>
      <w:r w:rsidRPr="00C97A3C">
        <w:rPr>
          <w:lang w:val="en"/>
        </w:rPr>
        <w:t xml:space="preserve">Crimean-Congo hemorrhagic fever (CCHF) is an acute fever that is characterized by bleeding and functional organ failure and can cause serious outbreaks among humans. The causative agent of CCHF is the Congo-Crimean virus, which is transmitted by ticks. </w:t>
      </w:r>
      <w:r w:rsidRPr="00973BC7">
        <w:rPr>
          <w:highlight w:val="yellow"/>
          <w:lang w:val="en"/>
        </w:rPr>
        <w:t>We will collect documentation on the prevalence of CCHF in different regions of Ukraine.</w:t>
      </w:r>
    </w:p>
    <w:p w14:paraId="5293FDA9" w14:textId="77777777" w:rsidR="00821775" w:rsidRPr="005610EE" w:rsidRDefault="00821775" w:rsidP="00821775">
      <w:pPr>
        <w:rPr>
          <w:szCs w:val="28"/>
          <w:lang w:val="uk-UA"/>
        </w:rPr>
      </w:pPr>
      <w:r w:rsidRPr="00973BC7">
        <w:rPr>
          <w:szCs w:val="28"/>
          <w:highlight w:val="yellow"/>
          <w:lang w:val="en"/>
        </w:rPr>
        <w:t>The aim of this study is to improve the process of diagnosing the CCHF virus in order to improve biosafety and biosecurity.</w:t>
      </w:r>
    </w:p>
    <w:p w14:paraId="127713B0" w14:textId="77777777" w:rsidR="00821775" w:rsidRPr="005610EE" w:rsidRDefault="00821775" w:rsidP="00821775">
      <w:pPr>
        <w:rPr>
          <w:szCs w:val="28"/>
          <w:lang w:val="uk-UA"/>
        </w:rPr>
      </w:pPr>
      <w:r w:rsidRPr="00C97A3C">
        <w:rPr>
          <w:szCs w:val="28"/>
          <w:lang w:val="en"/>
        </w:rPr>
        <w:t xml:space="preserve">In addition, </w:t>
      </w:r>
      <w:r>
        <w:rPr>
          <w:lang w:val="en"/>
        </w:rPr>
        <w:t xml:space="preserve"> diagnostics and related </w:t>
      </w:r>
      <w:r>
        <w:rPr>
          <w:szCs w:val="28"/>
          <w:lang w:val="en"/>
        </w:rPr>
        <w:t>epidnadzor</w:t>
      </w:r>
      <w:r>
        <w:rPr>
          <w:lang w:val="en"/>
        </w:rPr>
        <w:t xml:space="preserve"> should be </w:t>
      </w:r>
      <w:r>
        <w:rPr>
          <w:szCs w:val="28"/>
          <w:lang w:val="en"/>
        </w:rPr>
        <w:t>improved</w:t>
      </w:r>
      <w:r w:rsidRPr="00C97A3C">
        <w:rPr>
          <w:szCs w:val="28"/>
          <w:lang w:val="en"/>
        </w:rPr>
        <w:t xml:space="preserve">, as well as biosafety and biosecurity activities should be improved by setting standards and </w:t>
      </w:r>
      <w:r>
        <w:rPr>
          <w:szCs w:val="28"/>
          <w:lang w:val="en"/>
        </w:rPr>
        <w:t>training</w:t>
      </w:r>
      <w:r w:rsidRPr="00C97A3C">
        <w:rPr>
          <w:szCs w:val="28"/>
          <w:lang w:val="en"/>
        </w:rPr>
        <w:t xml:space="preserve"> laboratory personnel to </w:t>
      </w:r>
      <w:r>
        <w:rPr>
          <w:szCs w:val="28"/>
          <w:lang w:val="en"/>
        </w:rPr>
        <w:t>work with</w:t>
      </w:r>
      <w:r w:rsidRPr="00C97A3C">
        <w:rPr>
          <w:szCs w:val="28"/>
          <w:lang w:val="en"/>
        </w:rPr>
        <w:t xml:space="preserve"> Hanta</w:t>
      </w:r>
      <w:r>
        <w:rPr>
          <w:lang w:val="en"/>
        </w:rPr>
        <w:t xml:space="preserve"> virus </w:t>
      </w:r>
      <w:r>
        <w:rPr>
          <w:szCs w:val="28"/>
          <w:lang w:val="en"/>
        </w:rPr>
        <w:t xml:space="preserve"> at </w:t>
      </w:r>
      <w:r w:rsidRPr="00C97A3C">
        <w:rPr>
          <w:szCs w:val="28"/>
          <w:lang w:val="en"/>
        </w:rPr>
        <w:t xml:space="preserve"> risk 3. Subtype Khantaan, Puumala </w:t>
      </w:r>
      <w:r>
        <w:rPr>
          <w:szCs w:val="28"/>
          <w:lang w:val="en"/>
        </w:rPr>
        <w:t>and/or</w:t>
      </w:r>
      <w:r w:rsidRPr="00C97A3C">
        <w:rPr>
          <w:szCs w:val="28"/>
          <w:lang w:val="en"/>
        </w:rPr>
        <w:t xml:space="preserve">  The Dobrava-Belgrade virus is transmitted by rodents and can cause severe damage to the kidneys or respiratory tract depending on the subtype and, in some cases, death.</w:t>
      </w:r>
    </w:p>
    <w:p w14:paraId="7D3B11DD" w14:textId="77777777" w:rsidR="00821775" w:rsidRPr="005610EE" w:rsidRDefault="00821775" w:rsidP="00821775">
      <w:pPr>
        <w:rPr>
          <w:szCs w:val="28"/>
          <w:lang w:val="uk-UA"/>
        </w:rPr>
      </w:pPr>
    </w:p>
    <w:p w14:paraId="5E293DB3" w14:textId="77777777" w:rsidR="00821775" w:rsidRPr="005610EE" w:rsidRDefault="00821775" w:rsidP="00821775">
      <w:pPr>
        <w:rPr>
          <w:szCs w:val="28"/>
          <w:lang w:val="uk-UA"/>
        </w:rPr>
      </w:pPr>
      <w:r w:rsidRPr="00C97A3C">
        <w:rPr>
          <w:b/>
          <w:lang w:val="en"/>
        </w:rPr>
        <w:t>Project Duration :</w:t>
      </w:r>
      <w:r w:rsidRPr="00C97A3C">
        <w:rPr>
          <w:lang w:val="en"/>
        </w:rPr>
        <w:t xml:space="preserve"> January 1, 2018 - December 31, 2019</w:t>
      </w:r>
    </w:p>
    <w:p w14:paraId="6F30E3F3" w14:textId="77777777" w:rsidR="00821775" w:rsidRPr="005610EE" w:rsidRDefault="00821775" w:rsidP="00821775">
      <w:pPr>
        <w:rPr>
          <w:szCs w:val="28"/>
          <w:lang w:val="uk-UA"/>
        </w:rPr>
      </w:pPr>
    </w:p>
    <w:p w14:paraId="41A5DF02" w14:textId="77777777" w:rsidR="00821775" w:rsidRPr="005610EE" w:rsidRDefault="00821775" w:rsidP="00821775">
      <w:pPr>
        <w:rPr>
          <w:b/>
          <w:szCs w:val="28"/>
          <w:lang w:val="uk-UA"/>
        </w:rPr>
      </w:pPr>
      <w:r w:rsidRPr="00C97A3C">
        <w:rPr>
          <w:b/>
          <w:szCs w:val="28"/>
          <w:lang w:val="en"/>
        </w:rPr>
        <w:t xml:space="preserve">B Memorandum </w:t>
      </w:r>
    </w:p>
    <w:p w14:paraId="136921C7" w14:textId="77777777" w:rsidR="00821775" w:rsidRPr="005610EE" w:rsidRDefault="00821775" w:rsidP="00821775">
      <w:pPr>
        <w:rPr>
          <w:szCs w:val="28"/>
          <w:lang w:val="uk-UA"/>
        </w:rPr>
      </w:pPr>
      <w:r w:rsidRPr="00C97A3C">
        <w:rPr>
          <w:szCs w:val="28"/>
          <w:lang w:val="en"/>
        </w:rPr>
        <w:t xml:space="preserve">According to which </w:t>
      </w:r>
      <w:r>
        <w:rPr>
          <w:szCs w:val="28"/>
          <w:lang w:val="en"/>
        </w:rPr>
        <w:t>the</w:t>
      </w:r>
      <w:r w:rsidRPr="00C97A3C">
        <w:rPr>
          <w:szCs w:val="28"/>
          <w:lang w:val="en"/>
        </w:rPr>
        <w:t xml:space="preserve"> Bernhard Nocht Institute of Tropical Medicine</w:t>
      </w:r>
      <w:r>
        <w:rPr>
          <w:szCs w:val="28"/>
          <w:lang w:val="en"/>
        </w:rPr>
        <w:t xml:space="preserve"> and</w:t>
      </w:r>
      <w:r>
        <w:rPr>
          <w:lang w:val="en"/>
        </w:rPr>
        <w:t xml:space="preserve"> the </w:t>
      </w:r>
      <w:r w:rsidRPr="00C97A3C">
        <w:rPr>
          <w:lang w:val="en"/>
        </w:rPr>
        <w:t xml:space="preserve"> State Institution "Center for Public Health of the Ministry of Health of Ukraine" are obliged to cooperate on Ukrainian health programs within the framework of the funded project, to strengthen relations between the parties and build laboratory capabilities and relevant skills.</w:t>
      </w:r>
    </w:p>
    <w:p w14:paraId="43417ECC" w14:textId="77777777" w:rsidR="00821775" w:rsidRPr="005610EE" w:rsidRDefault="00821775" w:rsidP="00821775">
      <w:pPr>
        <w:rPr>
          <w:szCs w:val="28"/>
          <w:lang w:val="uk-UA"/>
        </w:rPr>
      </w:pPr>
    </w:p>
    <w:p w14:paraId="42AA3818" w14:textId="77777777" w:rsidR="00821775" w:rsidRPr="005610EE" w:rsidRDefault="00821775" w:rsidP="00821775">
      <w:pPr>
        <w:rPr>
          <w:szCs w:val="28"/>
          <w:lang w:val="uk-UA"/>
        </w:rPr>
      </w:pPr>
      <w:r w:rsidRPr="00973BC7">
        <w:rPr>
          <w:szCs w:val="28"/>
          <w:highlight w:val="yellow"/>
          <w:lang w:val="en"/>
        </w:rPr>
        <w:t>The CHP will be responsible for providing 1,000 serum samples from different regions of Ukraine</w:t>
      </w:r>
      <w:r w:rsidRPr="00C97A3C">
        <w:rPr>
          <w:szCs w:val="28"/>
          <w:lang w:val="en"/>
        </w:rPr>
        <w:t>. Testing of these samples will be carried out in Ukraine upon completion of the training process, which should be carried out partly by the Ukrainian side and partly at the Bernhard Nocht Institute of Tropical Medicine.</w:t>
      </w:r>
    </w:p>
    <w:p w14:paraId="1736BE59" w14:textId="77777777" w:rsidR="00821775" w:rsidRPr="005610EE" w:rsidRDefault="00821775" w:rsidP="00821775">
      <w:pPr>
        <w:rPr>
          <w:szCs w:val="28"/>
          <w:lang w:val="uk-UA"/>
        </w:rPr>
      </w:pPr>
    </w:p>
    <w:p w14:paraId="2A3116B4" w14:textId="77777777" w:rsidR="00821775" w:rsidRPr="005610EE" w:rsidRDefault="00821775" w:rsidP="00821775">
      <w:pPr>
        <w:rPr>
          <w:szCs w:val="28"/>
          <w:lang w:val="uk-UA"/>
        </w:rPr>
      </w:pPr>
      <w:r w:rsidRPr="005610EE">
        <w:rPr>
          <w:szCs w:val="28"/>
          <w:lang w:val="en"/>
        </w:rPr>
        <w:t xml:space="preserve">2. </w:t>
      </w:r>
      <w:r w:rsidRPr="00C97A3C">
        <w:rPr>
          <w:szCs w:val="28"/>
          <w:lang w:val="en"/>
        </w:rPr>
        <w:t>The Administration of the Institute will establish an official account for payments to the project and will be responsible for the distribution of funds identified in the project application. All payments must be supported by documentary evidence, which must be provided annually to the Institute and the donor upon request.</w:t>
      </w:r>
    </w:p>
    <w:p w14:paraId="3840BDF9" w14:textId="77777777" w:rsidR="00821775" w:rsidRPr="005610EE" w:rsidRDefault="00821775" w:rsidP="00821775">
      <w:pPr>
        <w:rPr>
          <w:szCs w:val="28"/>
          <w:lang w:val="uk-UA"/>
        </w:rPr>
      </w:pPr>
    </w:p>
    <w:p w14:paraId="26C4D758" w14:textId="77777777" w:rsidR="00821775" w:rsidRPr="005610EE" w:rsidRDefault="00821775" w:rsidP="00821775">
      <w:pPr>
        <w:rPr>
          <w:szCs w:val="28"/>
          <w:lang w:val="uk-UA"/>
        </w:rPr>
      </w:pPr>
      <w:r w:rsidRPr="005610EE">
        <w:rPr>
          <w:szCs w:val="28"/>
          <w:lang w:val="en"/>
        </w:rPr>
        <w:t xml:space="preserve">3. </w:t>
      </w:r>
      <w:r w:rsidRPr="00C97A3C">
        <w:rPr>
          <w:lang w:val="en"/>
        </w:rPr>
        <w:t>The Institute will be responsible for paying all costs associated with the training of the staff of the PHC at the Bernhard Nocht Institute for Tropical Medicine. The Institute also provides the necessary equipment and tools foreseen by the project.</w:t>
      </w:r>
    </w:p>
    <w:p w14:paraId="6886154C" w14:textId="77777777" w:rsidR="00821775" w:rsidRPr="005610EE" w:rsidRDefault="00821775" w:rsidP="00821775">
      <w:pPr>
        <w:rPr>
          <w:szCs w:val="28"/>
          <w:lang w:val="uk-UA"/>
        </w:rPr>
      </w:pPr>
    </w:p>
    <w:p w14:paraId="7AEBE5A3" w14:textId="77777777" w:rsidR="00821775" w:rsidRPr="005610EE" w:rsidRDefault="00821775" w:rsidP="00821775">
      <w:pPr>
        <w:rPr>
          <w:b/>
          <w:szCs w:val="28"/>
          <w:lang w:val="uk-UA"/>
        </w:rPr>
      </w:pPr>
      <w:r w:rsidRPr="00C97A3C">
        <w:rPr>
          <w:b/>
          <w:lang w:val="en"/>
        </w:rPr>
        <w:t>Signed for and by the State Institution "Center for Public Health of the Ministry of Health of Ukraine" (</w:t>
      </w:r>
      <w:r>
        <w:rPr>
          <w:b/>
          <w:lang w:val="en"/>
        </w:rPr>
        <w:t>CPP</w:t>
      </w:r>
      <w:r w:rsidRPr="00C97A3C">
        <w:rPr>
          <w:b/>
          <w:lang w:val="en"/>
        </w:rPr>
        <w:t>) by the Director General Dr. Volodymyr Kurpita</w:t>
      </w:r>
    </w:p>
    <w:p w14:paraId="46D5A709" w14:textId="77777777" w:rsidR="00821775" w:rsidRPr="005610EE" w:rsidRDefault="00821775" w:rsidP="00821775">
      <w:pPr>
        <w:rPr>
          <w:szCs w:val="28"/>
          <w:lang w:val="uk-UA"/>
        </w:rPr>
      </w:pPr>
    </w:p>
    <w:tbl>
      <w:tblPr>
        <w:tblStyle w:val="TableGrid"/>
        <w:tblW w:w="0" w:type="auto"/>
        <w:tblLook w:val="04A0" w:firstRow="1" w:lastRow="0" w:firstColumn="1" w:lastColumn="0" w:noHBand="0" w:noVBand="1"/>
      </w:tblPr>
      <w:tblGrid>
        <w:gridCol w:w="3198"/>
        <w:gridCol w:w="3188"/>
        <w:gridCol w:w="3185"/>
      </w:tblGrid>
      <w:tr w:rsidR="00821775" w:rsidRPr="005610EE" w14:paraId="733110F7" w14:textId="77777777" w:rsidTr="006A2C0E">
        <w:trPr>
          <w:trHeight w:val="318"/>
        </w:trPr>
        <w:tc>
          <w:tcPr>
            <w:tcW w:w="3318" w:type="dxa"/>
          </w:tcPr>
          <w:p w14:paraId="0D75D1D3" w14:textId="77777777" w:rsidR="00821775" w:rsidRPr="005610EE" w:rsidRDefault="00821775" w:rsidP="006A2C0E">
            <w:pPr>
              <w:rPr>
                <w:b/>
                <w:szCs w:val="28"/>
                <w:lang w:val="uk-UA"/>
              </w:rPr>
            </w:pPr>
          </w:p>
        </w:tc>
        <w:tc>
          <w:tcPr>
            <w:tcW w:w="3318" w:type="dxa"/>
          </w:tcPr>
          <w:p w14:paraId="7BFF3F0D" w14:textId="77777777" w:rsidR="00821775" w:rsidRPr="005610EE" w:rsidRDefault="00821775" w:rsidP="006A2C0E">
            <w:pPr>
              <w:ind w:firstLine="6"/>
              <w:jc w:val="center"/>
              <w:rPr>
                <w:b/>
                <w:szCs w:val="28"/>
                <w:lang w:val="uk-UA"/>
              </w:rPr>
            </w:pPr>
            <w:r w:rsidRPr="00C97A3C">
              <w:rPr>
                <w:b/>
                <w:lang w:val="en"/>
              </w:rPr>
              <w:t>Name</w:t>
            </w:r>
          </w:p>
        </w:tc>
        <w:tc>
          <w:tcPr>
            <w:tcW w:w="3318" w:type="dxa"/>
          </w:tcPr>
          <w:p w14:paraId="0A22C6CB" w14:textId="77777777" w:rsidR="00821775" w:rsidRPr="005610EE" w:rsidRDefault="00821775" w:rsidP="006A2C0E">
            <w:pPr>
              <w:ind w:firstLine="6"/>
              <w:jc w:val="center"/>
              <w:rPr>
                <w:b/>
                <w:szCs w:val="28"/>
                <w:lang w:val="uk-UA"/>
              </w:rPr>
            </w:pPr>
            <w:r w:rsidRPr="00C97A3C">
              <w:rPr>
                <w:b/>
                <w:szCs w:val="28"/>
                <w:lang w:val="en"/>
              </w:rPr>
              <w:t>Witness</w:t>
            </w:r>
          </w:p>
        </w:tc>
      </w:tr>
      <w:tr w:rsidR="00821775" w:rsidRPr="005610EE" w14:paraId="4EBC19AF" w14:textId="77777777" w:rsidTr="006A2C0E">
        <w:trPr>
          <w:trHeight w:val="318"/>
        </w:trPr>
        <w:tc>
          <w:tcPr>
            <w:tcW w:w="3318" w:type="dxa"/>
          </w:tcPr>
          <w:p w14:paraId="3C64CEEA" w14:textId="77777777" w:rsidR="00821775" w:rsidRPr="005610EE" w:rsidRDefault="00821775" w:rsidP="006A2C0E">
            <w:pPr>
              <w:ind w:firstLine="0"/>
              <w:jc w:val="center"/>
              <w:rPr>
                <w:b/>
                <w:szCs w:val="28"/>
                <w:lang w:val="uk-UA"/>
              </w:rPr>
            </w:pPr>
            <w:r w:rsidRPr="00C97A3C">
              <w:rPr>
                <w:b/>
                <w:szCs w:val="28"/>
                <w:lang w:val="en"/>
              </w:rPr>
              <w:t>Signature</w:t>
            </w:r>
          </w:p>
        </w:tc>
        <w:tc>
          <w:tcPr>
            <w:tcW w:w="3318" w:type="dxa"/>
          </w:tcPr>
          <w:p w14:paraId="0262B22A" w14:textId="77777777" w:rsidR="00821775" w:rsidRPr="005610EE" w:rsidRDefault="00821775" w:rsidP="006A2C0E">
            <w:pPr>
              <w:ind w:firstLine="6"/>
              <w:jc w:val="center"/>
              <w:rPr>
                <w:szCs w:val="28"/>
                <w:lang w:val="uk-UA"/>
              </w:rPr>
            </w:pPr>
          </w:p>
        </w:tc>
        <w:tc>
          <w:tcPr>
            <w:tcW w:w="3318" w:type="dxa"/>
          </w:tcPr>
          <w:p w14:paraId="1F59AFDB" w14:textId="77777777" w:rsidR="00821775" w:rsidRPr="005610EE" w:rsidRDefault="00821775" w:rsidP="006A2C0E">
            <w:pPr>
              <w:rPr>
                <w:szCs w:val="28"/>
                <w:lang w:val="uk-UA"/>
              </w:rPr>
            </w:pPr>
          </w:p>
        </w:tc>
      </w:tr>
      <w:tr w:rsidR="00821775" w:rsidRPr="005610EE" w14:paraId="79863D69" w14:textId="77777777" w:rsidTr="006A2C0E">
        <w:trPr>
          <w:trHeight w:val="299"/>
        </w:trPr>
        <w:tc>
          <w:tcPr>
            <w:tcW w:w="3318" w:type="dxa"/>
          </w:tcPr>
          <w:p w14:paraId="2132371A" w14:textId="77777777" w:rsidR="00821775" w:rsidRPr="005610EE" w:rsidRDefault="00821775" w:rsidP="006A2C0E">
            <w:pPr>
              <w:ind w:firstLine="0"/>
              <w:jc w:val="center"/>
              <w:rPr>
                <w:b/>
                <w:szCs w:val="28"/>
                <w:lang w:val="uk-UA"/>
              </w:rPr>
            </w:pPr>
            <w:r w:rsidRPr="00C97A3C">
              <w:rPr>
                <w:b/>
                <w:lang w:val="en"/>
              </w:rPr>
              <w:t>Name</w:t>
            </w:r>
          </w:p>
        </w:tc>
        <w:tc>
          <w:tcPr>
            <w:tcW w:w="3318" w:type="dxa"/>
          </w:tcPr>
          <w:p w14:paraId="1E78A2D6" w14:textId="77777777" w:rsidR="00821775" w:rsidRPr="005610EE" w:rsidRDefault="00821775" w:rsidP="006A2C0E">
            <w:pPr>
              <w:ind w:firstLine="6"/>
              <w:jc w:val="center"/>
              <w:rPr>
                <w:szCs w:val="28"/>
                <w:lang w:val="uk-UA"/>
              </w:rPr>
            </w:pPr>
            <w:r w:rsidRPr="00C97A3C">
              <w:rPr>
                <w:szCs w:val="28"/>
                <w:lang w:val="en"/>
              </w:rPr>
              <w:t>Dr. Vladimir</w:t>
            </w:r>
            <w:r>
              <w:rPr>
                <w:lang w:val="en"/>
              </w:rPr>
              <w:t xml:space="preserve"> </w:t>
            </w:r>
            <w:r w:rsidRPr="00C97A3C">
              <w:rPr>
                <w:szCs w:val="28"/>
                <w:lang w:val="en"/>
              </w:rPr>
              <w:t>Kurpita</w:t>
            </w:r>
          </w:p>
        </w:tc>
        <w:tc>
          <w:tcPr>
            <w:tcW w:w="3318" w:type="dxa"/>
          </w:tcPr>
          <w:p w14:paraId="150B9CAC" w14:textId="77777777" w:rsidR="00821775" w:rsidRPr="005610EE" w:rsidRDefault="00821775" w:rsidP="006A2C0E">
            <w:pPr>
              <w:rPr>
                <w:szCs w:val="28"/>
                <w:lang w:val="uk-UA"/>
              </w:rPr>
            </w:pPr>
          </w:p>
        </w:tc>
      </w:tr>
      <w:tr w:rsidR="00821775" w:rsidRPr="005610EE" w14:paraId="22CD02EC" w14:textId="77777777" w:rsidTr="006A2C0E">
        <w:trPr>
          <w:trHeight w:val="318"/>
        </w:trPr>
        <w:tc>
          <w:tcPr>
            <w:tcW w:w="3318" w:type="dxa"/>
          </w:tcPr>
          <w:p w14:paraId="2DEED790" w14:textId="77777777" w:rsidR="00821775" w:rsidRPr="005610EE" w:rsidRDefault="00821775" w:rsidP="006A2C0E">
            <w:pPr>
              <w:ind w:firstLine="0"/>
              <w:jc w:val="center"/>
              <w:rPr>
                <w:b/>
                <w:szCs w:val="28"/>
                <w:lang w:val="uk-UA"/>
              </w:rPr>
            </w:pPr>
            <w:r w:rsidRPr="00C97A3C">
              <w:rPr>
                <w:b/>
                <w:szCs w:val="28"/>
                <w:lang w:val="en"/>
              </w:rPr>
              <w:t>Date</w:t>
            </w:r>
          </w:p>
        </w:tc>
        <w:tc>
          <w:tcPr>
            <w:tcW w:w="3318" w:type="dxa"/>
          </w:tcPr>
          <w:p w14:paraId="3ED070E0" w14:textId="77777777" w:rsidR="00821775" w:rsidRPr="005610EE" w:rsidRDefault="00821775" w:rsidP="006A2C0E">
            <w:pPr>
              <w:ind w:firstLine="6"/>
              <w:jc w:val="center"/>
              <w:rPr>
                <w:szCs w:val="28"/>
                <w:lang w:val="uk-UA"/>
              </w:rPr>
            </w:pPr>
            <w:r w:rsidRPr="00C97A3C">
              <w:rPr>
                <w:szCs w:val="28"/>
                <w:lang w:val="en"/>
              </w:rPr>
              <w:t>Kyiv, July 2018</w:t>
            </w:r>
          </w:p>
        </w:tc>
        <w:tc>
          <w:tcPr>
            <w:tcW w:w="3318" w:type="dxa"/>
          </w:tcPr>
          <w:p w14:paraId="5D8718BD" w14:textId="77777777" w:rsidR="00821775" w:rsidRPr="005610EE" w:rsidRDefault="00821775" w:rsidP="006A2C0E">
            <w:pPr>
              <w:rPr>
                <w:szCs w:val="28"/>
                <w:lang w:val="uk-UA"/>
              </w:rPr>
            </w:pPr>
          </w:p>
        </w:tc>
      </w:tr>
    </w:tbl>
    <w:p w14:paraId="2DF5DFAB" w14:textId="77777777" w:rsidR="00821775" w:rsidRPr="005610EE" w:rsidRDefault="00821775" w:rsidP="00821775">
      <w:pPr>
        <w:rPr>
          <w:szCs w:val="28"/>
          <w:lang w:val="uk-UA"/>
        </w:rPr>
      </w:pPr>
    </w:p>
    <w:p w14:paraId="4C9264FC" w14:textId="77777777" w:rsidR="00821775" w:rsidRPr="005610EE" w:rsidRDefault="00821775" w:rsidP="00821775">
      <w:pPr>
        <w:rPr>
          <w:b/>
          <w:szCs w:val="28"/>
          <w:lang w:val="uk-UA"/>
        </w:rPr>
      </w:pPr>
      <w:r w:rsidRPr="00C97A3C">
        <w:rPr>
          <w:b/>
          <w:szCs w:val="28"/>
          <w:lang w:val="en"/>
        </w:rPr>
        <w:t>Signed for and by the Bernhard Nocht Institute of Tropical Medicine</w:t>
      </w:r>
    </w:p>
    <w:p w14:paraId="2738E46D" w14:textId="77777777" w:rsidR="00821775" w:rsidRPr="005610EE" w:rsidRDefault="00821775" w:rsidP="00821775">
      <w:pPr>
        <w:rPr>
          <w:szCs w:val="28"/>
          <w:lang w:val="uk-UA"/>
        </w:rPr>
      </w:pPr>
    </w:p>
    <w:tbl>
      <w:tblPr>
        <w:tblStyle w:val="TableGrid"/>
        <w:tblW w:w="0" w:type="auto"/>
        <w:tblLook w:val="04A0" w:firstRow="1" w:lastRow="0" w:firstColumn="1" w:lastColumn="0" w:noHBand="0" w:noVBand="1"/>
      </w:tblPr>
      <w:tblGrid>
        <w:gridCol w:w="3196"/>
        <w:gridCol w:w="3193"/>
        <w:gridCol w:w="3182"/>
      </w:tblGrid>
      <w:tr w:rsidR="00821775" w:rsidRPr="005610EE" w14:paraId="3A1EAAB0" w14:textId="77777777" w:rsidTr="006A2C0E">
        <w:trPr>
          <w:trHeight w:val="321"/>
        </w:trPr>
        <w:tc>
          <w:tcPr>
            <w:tcW w:w="3312" w:type="dxa"/>
          </w:tcPr>
          <w:p w14:paraId="4C9FEB02" w14:textId="77777777" w:rsidR="00821775" w:rsidRPr="005610EE" w:rsidRDefault="00821775" w:rsidP="006A2C0E">
            <w:pPr>
              <w:ind w:firstLine="0"/>
              <w:jc w:val="center"/>
              <w:rPr>
                <w:b/>
                <w:szCs w:val="28"/>
                <w:lang w:val="uk-UA"/>
              </w:rPr>
            </w:pPr>
          </w:p>
        </w:tc>
        <w:tc>
          <w:tcPr>
            <w:tcW w:w="3312" w:type="dxa"/>
          </w:tcPr>
          <w:p w14:paraId="2E079B85" w14:textId="77777777" w:rsidR="00821775" w:rsidRPr="005610EE" w:rsidRDefault="00821775" w:rsidP="006A2C0E">
            <w:pPr>
              <w:ind w:firstLine="0"/>
              <w:jc w:val="center"/>
              <w:rPr>
                <w:b/>
                <w:szCs w:val="28"/>
                <w:lang w:val="uk-UA"/>
              </w:rPr>
            </w:pPr>
            <w:r w:rsidRPr="00C97A3C">
              <w:rPr>
                <w:b/>
                <w:lang w:val="en"/>
              </w:rPr>
              <w:t>Name</w:t>
            </w:r>
          </w:p>
        </w:tc>
        <w:tc>
          <w:tcPr>
            <w:tcW w:w="3312" w:type="dxa"/>
          </w:tcPr>
          <w:p w14:paraId="74E61774" w14:textId="77777777" w:rsidR="00821775" w:rsidRPr="005610EE" w:rsidRDefault="00821775" w:rsidP="006A2C0E">
            <w:pPr>
              <w:ind w:firstLine="0"/>
              <w:jc w:val="center"/>
              <w:rPr>
                <w:b/>
                <w:szCs w:val="28"/>
                <w:lang w:val="uk-UA"/>
              </w:rPr>
            </w:pPr>
            <w:r w:rsidRPr="00C97A3C">
              <w:rPr>
                <w:b/>
                <w:szCs w:val="28"/>
                <w:lang w:val="en"/>
              </w:rPr>
              <w:t>Witness</w:t>
            </w:r>
          </w:p>
        </w:tc>
      </w:tr>
      <w:tr w:rsidR="00821775" w:rsidRPr="005610EE" w14:paraId="1CC27112" w14:textId="77777777" w:rsidTr="006A2C0E">
        <w:trPr>
          <w:trHeight w:val="321"/>
        </w:trPr>
        <w:tc>
          <w:tcPr>
            <w:tcW w:w="3312" w:type="dxa"/>
          </w:tcPr>
          <w:p w14:paraId="4586EAFE" w14:textId="77777777" w:rsidR="00821775" w:rsidRPr="005610EE" w:rsidRDefault="00821775" w:rsidP="006A2C0E">
            <w:pPr>
              <w:ind w:firstLine="0"/>
              <w:jc w:val="center"/>
              <w:rPr>
                <w:b/>
                <w:szCs w:val="28"/>
                <w:lang w:val="uk-UA"/>
              </w:rPr>
            </w:pPr>
            <w:r w:rsidRPr="00C97A3C">
              <w:rPr>
                <w:b/>
                <w:szCs w:val="28"/>
                <w:lang w:val="en"/>
              </w:rPr>
              <w:t>Signature</w:t>
            </w:r>
          </w:p>
        </w:tc>
        <w:tc>
          <w:tcPr>
            <w:tcW w:w="3312" w:type="dxa"/>
          </w:tcPr>
          <w:p w14:paraId="63F1EFEF" w14:textId="77777777" w:rsidR="00821775" w:rsidRPr="005610EE" w:rsidRDefault="00821775" w:rsidP="006A2C0E">
            <w:pPr>
              <w:ind w:firstLine="0"/>
              <w:jc w:val="center"/>
              <w:rPr>
                <w:szCs w:val="28"/>
                <w:lang w:val="uk-UA"/>
              </w:rPr>
            </w:pPr>
          </w:p>
        </w:tc>
        <w:tc>
          <w:tcPr>
            <w:tcW w:w="3312" w:type="dxa"/>
          </w:tcPr>
          <w:p w14:paraId="538E7F9C" w14:textId="77777777" w:rsidR="00821775" w:rsidRPr="005610EE" w:rsidRDefault="00821775" w:rsidP="006A2C0E">
            <w:pPr>
              <w:ind w:firstLine="0"/>
              <w:jc w:val="center"/>
              <w:rPr>
                <w:szCs w:val="28"/>
                <w:lang w:val="uk-UA"/>
              </w:rPr>
            </w:pPr>
          </w:p>
        </w:tc>
      </w:tr>
      <w:tr w:rsidR="00821775" w:rsidRPr="005610EE" w14:paraId="4A7DEEF4" w14:textId="77777777" w:rsidTr="006A2C0E">
        <w:trPr>
          <w:trHeight w:val="302"/>
        </w:trPr>
        <w:tc>
          <w:tcPr>
            <w:tcW w:w="3312" w:type="dxa"/>
          </w:tcPr>
          <w:p w14:paraId="6A787A81" w14:textId="77777777" w:rsidR="00821775" w:rsidRPr="005610EE" w:rsidRDefault="00821775" w:rsidP="006A2C0E">
            <w:pPr>
              <w:ind w:firstLine="0"/>
              <w:jc w:val="center"/>
              <w:rPr>
                <w:b/>
                <w:szCs w:val="28"/>
                <w:lang w:val="uk-UA"/>
              </w:rPr>
            </w:pPr>
            <w:r w:rsidRPr="00C97A3C">
              <w:rPr>
                <w:b/>
                <w:lang w:val="en"/>
              </w:rPr>
              <w:t>Name</w:t>
            </w:r>
          </w:p>
        </w:tc>
        <w:tc>
          <w:tcPr>
            <w:tcW w:w="3312" w:type="dxa"/>
          </w:tcPr>
          <w:p w14:paraId="2B00A532" w14:textId="77777777" w:rsidR="00821775" w:rsidRPr="005610EE" w:rsidRDefault="00821775" w:rsidP="006A2C0E">
            <w:pPr>
              <w:ind w:firstLine="0"/>
              <w:jc w:val="center"/>
              <w:rPr>
                <w:szCs w:val="28"/>
                <w:lang w:val="uk-UA"/>
              </w:rPr>
            </w:pPr>
            <w:r w:rsidRPr="00C97A3C">
              <w:rPr>
                <w:szCs w:val="28"/>
                <w:lang w:val="en"/>
              </w:rPr>
              <w:t>Prof. Dr. Jürgen May</w:t>
            </w:r>
          </w:p>
        </w:tc>
        <w:tc>
          <w:tcPr>
            <w:tcW w:w="3312" w:type="dxa"/>
          </w:tcPr>
          <w:p w14:paraId="52CE2C14" w14:textId="77777777" w:rsidR="00821775" w:rsidRPr="005610EE" w:rsidRDefault="00821775" w:rsidP="006A2C0E">
            <w:pPr>
              <w:ind w:firstLine="0"/>
              <w:jc w:val="center"/>
              <w:rPr>
                <w:szCs w:val="28"/>
                <w:lang w:val="uk-UA"/>
              </w:rPr>
            </w:pPr>
          </w:p>
        </w:tc>
      </w:tr>
      <w:tr w:rsidR="00821775" w:rsidRPr="005610EE" w14:paraId="396F650C" w14:textId="77777777" w:rsidTr="006A2C0E">
        <w:trPr>
          <w:trHeight w:val="496"/>
        </w:trPr>
        <w:tc>
          <w:tcPr>
            <w:tcW w:w="3312" w:type="dxa"/>
          </w:tcPr>
          <w:p w14:paraId="5C44F1DD" w14:textId="77777777" w:rsidR="00821775" w:rsidRPr="005610EE" w:rsidRDefault="00821775" w:rsidP="006A2C0E">
            <w:pPr>
              <w:ind w:firstLine="0"/>
              <w:jc w:val="center"/>
              <w:rPr>
                <w:b/>
                <w:szCs w:val="28"/>
                <w:lang w:val="uk-UA"/>
              </w:rPr>
            </w:pPr>
            <w:r w:rsidRPr="00C97A3C">
              <w:rPr>
                <w:b/>
                <w:szCs w:val="28"/>
                <w:lang w:val="en"/>
              </w:rPr>
              <w:t>Date</w:t>
            </w:r>
          </w:p>
        </w:tc>
        <w:tc>
          <w:tcPr>
            <w:tcW w:w="3312" w:type="dxa"/>
          </w:tcPr>
          <w:p w14:paraId="5BFF825A" w14:textId="77777777" w:rsidR="00821775" w:rsidRPr="005610EE" w:rsidRDefault="00821775" w:rsidP="006A2C0E">
            <w:pPr>
              <w:ind w:firstLine="0"/>
              <w:jc w:val="center"/>
              <w:rPr>
                <w:szCs w:val="28"/>
                <w:lang w:val="uk-UA"/>
              </w:rPr>
            </w:pPr>
            <w:r w:rsidRPr="00C97A3C">
              <w:rPr>
                <w:szCs w:val="28"/>
                <w:lang w:val="en"/>
              </w:rPr>
              <w:t>Hamburg, 18 July 2018</w:t>
            </w:r>
          </w:p>
        </w:tc>
        <w:tc>
          <w:tcPr>
            <w:tcW w:w="3312" w:type="dxa"/>
          </w:tcPr>
          <w:p w14:paraId="74389314" w14:textId="77777777" w:rsidR="00821775" w:rsidRPr="005610EE" w:rsidRDefault="00821775" w:rsidP="006A2C0E">
            <w:pPr>
              <w:ind w:firstLine="0"/>
              <w:jc w:val="center"/>
              <w:rPr>
                <w:szCs w:val="28"/>
                <w:lang w:val="uk-UA"/>
              </w:rPr>
            </w:pPr>
          </w:p>
        </w:tc>
      </w:tr>
    </w:tbl>
    <w:p w14:paraId="01843DBA" w14:textId="77777777" w:rsidR="00821775" w:rsidRDefault="00821775" w:rsidP="00821775">
      <w:pPr>
        <w:ind w:firstLine="0"/>
        <w:contextualSpacing w:val="0"/>
        <w:jc w:val="left"/>
        <w:rPr>
          <w:i/>
          <w:szCs w:val="28"/>
          <w:lang w:val="uk-UA"/>
        </w:rPr>
      </w:pPr>
    </w:p>
    <w:p w14:paraId="4940BD2B" w14:textId="77777777" w:rsidR="00821775" w:rsidRPr="005610EE" w:rsidRDefault="00E32F97" w:rsidP="00821775">
      <w:pPr>
        <w:ind w:firstLine="0"/>
        <w:rPr>
          <w:szCs w:val="28"/>
          <w:lang w:val="uk-UA"/>
        </w:rPr>
      </w:pPr>
      <w:r w:rsidRPr="00A97AAF">
        <w:rPr>
          <w:noProof/>
          <w:lang w:eastAsia="ru-RU"/>
        </w:rPr>
        <w:drawing>
          <wp:inline distT="0" distB="0" distL="0" distR="0" wp14:anchorId="23914E1F" wp14:editId="186EC718">
            <wp:extent cx="6257925" cy="933450"/>
            <wp:effectExtent l="0" t="0" r="0" b="0"/>
            <wp:docPr id="1"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257925" cy="933450"/>
                    </a:xfrm>
                    <a:prstGeom prst="rect">
                      <a:avLst/>
                    </a:prstGeom>
                    <a:noFill/>
                    <a:ln>
                      <a:noFill/>
                    </a:ln>
                  </pic:spPr>
                </pic:pic>
              </a:graphicData>
            </a:graphic>
          </wp:inline>
        </w:drawing>
      </w:r>
    </w:p>
    <w:p w14:paraId="53A60817" w14:textId="542315E5" w:rsidR="004A1320" w:rsidRDefault="004A1320"/>
    <w:sectPr w:rsidR="004A1320">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A72E5F" w14:textId="77777777" w:rsidR="00F764AE" w:rsidRDefault="00F764AE" w:rsidP="00A74B56">
      <w:r>
        <w:rPr>
          <w:lang w:val="en"/>
        </w:rPr>
        <w:separator/>
      </w:r>
    </w:p>
  </w:endnote>
  <w:endnote w:type="continuationSeparator" w:id="0">
    <w:p w14:paraId="79496311" w14:textId="77777777" w:rsidR="00F764AE" w:rsidRDefault="00F764AE" w:rsidP="00A74B56">
      <w:r>
        <w:rPr>
          <w:lang w:val="e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96E05" w14:textId="77777777" w:rsidR="00A74B56" w:rsidRDefault="00A74B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AE44E" w14:textId="77777777" w:rsidR="00A74B56" w:rsidRDefault="00A74B5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C0FB3" w14:textId="77777777" w:rsidR="00A74B56" w:rsidRDefault="00A74B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A331F9" w14:textId="77777777" w:rsidR="00F764AE" w:rsidRDefault="00F764AE" w:rsidP="00A74B56">
      <w:r>
        <w:rPr>
          <w:lang w:val="en"/>
        </w:rPr>
        <w:separator/>
      </w:r>
    </w:p>
  </w:footnote>
  <w:footnote w:type="continuationSeparator" w:id="0">
    <w:p w14:paraId="5C558466" w14:textId="77777777" w:rsidR="00F764AE" w:rsidRDefault="00F764AE" w:rsidP="00A74B56">
      <w:r>
        <w:rPr>
          <w:lang w:val="e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9460E" w14:textId="77777777" w:rsidR="00A74B56" w:rsidRDefault="00A74B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A04052" w14:textId="77777777" w:rsidR="00A74B56" w:rsidRDefault="00A74B5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B410D" w14:textId="77777777" w:rsidR="00A74B56" w:rsidRDefault="00A74B5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821775"/>
    <w:rsid w:val="00275ACD"/>
    <w:rsid w:val="00462DCB"/>
    <w:rsid w:val="004A1320"/>
    <w:rsid w:val="004C01D4"/>
    <w:rsid w:val="005610EE"/>
    <w:rsid w:val="00687DE8"/>
    <w:rsid w:val="006A2C0E"/>
    <w:rsid w:val="00821775"/>
    <w:rsid w:val="008A5817"/>
    <w:rsid w:val="00973BC7"/>
    <w:rsid w:val="00A74B56"/>
    <w:rsid w:val="00A74D0F"/>
    <w:rsid w:val="00A97AAF"/>
    <w:rsid w:val="00C30966"/>
    <w:rsid w:val="00C97A3C"/>
    <w:rsid w:val="00D61BD0"/>
    <w:rsid w:val="00DD1D41"/>
    <w:rsid w:val="00E32F97"/>
    <w:rsid w:val="00E4033D"/>
    <w:rsid w:val="00EC0713"/>
    <w:rsid w:val="00F764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52C9103"/>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1775"/>
    <w:pPr>
      <w:spacing w:after="0" w:line="240" w:lineRule="auto"/>
      <w:ind w:firstLine="709"/>
      <w:contextualSpacing/>
      <w:jc w:val="both"/>
    </w:pPr>
    <w:rPr>
      <w:rFonts w:ascii="Times New Roman" w:hAnsi="Times New Roman" w:cs="Times New Roman"/>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21775"/>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74B56"/>
    <w:pPr>
      <w:tabs>
        <w:tab w:val="center" w:pos="4677"/>
        <w:tab w:val="right" w:pos="9355"/>
      </w:tabs>
    </w:pPr>
  </w:style>
  <w:style w:type="paragraph" w:styleId="Footer">
    <w:name w:val="footer"/>
    <w:basedOn w:val="Normal"/>
    <w:link w:val="FooterChar"/>
    <w:uiPriority w:val="99"/>
    <w:unhideWhenUsed/>
    <w:rsid w:val="00A74B56"/>
    <w:pPr>
      <w:tabs>
        <w:tab w:val="center" w:pos="4677"/>
        <w:tab w:val="right" w:pos="9355"/>
      </w:tabs>
    </w:pPr>
  </w:style>
  <w:style w:type="character" w:customStyle="1" w:styleId="HeaderChar">
    <w:name w:val="Header Char"/>
    <w:basedOn w:val="DefaultParagraphFont"/>
    <w:link w:val="Header"/>
    <w:uiPriority w:val="99"/>
    <w:locked/>
    <w:rsid w:val="00A74B56"/>
    <w:rPr>
      <w:rFonts w:ascii="Times New Roman" w:hAnsi="Times New Roman" w:cs="Times New Roman"/>
      <w:sz w:val="28"/>
    </w:rPr>
  </w:style>
  <w:style w:type="character" w:customStyle="1" w:styleId="FooterChar">
    <w:name w:val="Footer Char"/>
    <w:basedOn w:val="DefaultParagraphFont"/>
    <w:link w:val="Footer"/>
    <w:uiPriority w:val="99"/>
    <w:locked/>
    <w:rsid w:val="00A74B56"/>
    <w:rPr>
      <w:rFonts w:ascii="Times New Roman" w:hAnsi="Times New Roman" w:cs="Times New Roman"/>
      <w:sz w:val="28"/>
    </w:rPr>
  </w:style>
  <w:style w:type="character" w:styleId="PlaceholderText">
    <w:name w:val="Placeholder Text"/>
    <w:basedOn w:val="DefaultParagraphFont"/>
    <w:uiPriority w:val="99"/>
    <w:semiHidden/>
    <w:rsid w:val="00D61BD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612</Words>
  <Characters>3495</Characters>
  <Application>Microsoft Office Word</Application>
  <DocSecurity>0</DocSecurity>
  <Lines>29</Lines>
  <Paragraphs>8</Paragraphs>
  <ScaleCrop>false</ScaleCrop>
  <Company/>
  <LinksUpToDate>false</LinksUpToDate>
  <CharactersWithSpaces>4099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2022-03-11T16:38:00Z</dcterms:created>
  <dcterms:modified xsi:type="dcterms:W3CDTF">2022-03-11T16:45:00Z</dcterms:modified>
  <cp:category/>
</cp:coreProperties>
</file>